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Pemilihan energi: Bagaimana energi nuklir sudah membebani kita</w:t>
      </w:r>
    </w:p>
    <w:p>
      <w:pPr>
        <w:jc w:val="both"/>
      </w:pPr>
      <w:r>
        <w:rPr/>
        <w:t xml:space="preserve">Orang Australia sudah menanggung biaya dari perpecahan politik dalam kebijakan energi, jadi memasukkan manfaat yang dipertanyakan dari energi nuklir ke dalam debat pemilu hanya akan menambah biaya.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Tidak ada menara pendingin yang terlihat, tetapi warga Australia tetap membayar untuk tenaga nuklir. Karya seni komposit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Ken Baldwin</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Warga Australia sudah menanggung biaya akibat perpecahan politik dalam kebijakan energi, jadi memasukkan manfaat yang dipertanyakan dari energi nuklir ke dalam debat pemilu hanya akan menambah beban biaya.</w:t>
      </w:r>
    </w:p>
    <w:p>
      <w:pPr/>
      <w:br/>
      <w:r>
        <w:rPr/>
        <w:t xml:space="preserve">`</w:t>
      </w:r>
    </w:p>
    <w:p>
      <w:pPr/>
      <w:r>
        <w:rPr/>
        <w:t xml:space="preserve">Warga negara telah membayar harga atas perpecahan politik mengenai masa depan energi Australia — dan kini kebijakan nuklir Koalisi secara efektif membebani kantong mereka bahkan sebelum pemilih memiliki kesempatan untuk memutuskan apakah kebijakan tersebut menjadi bagian dari transisi energi nasional.</w:t>
      </w:r>
    </w:p>
    <w:p>
      <w:pPr/>
      <w:r>
        <w:rPr/>
        <w:t xml:space="preserve">Semua warga Australia menanggung biaya akibat </w:t>
      </w:r>
      <w:hyperlink r:id="rId8" w:history="1">
        <w:r>
          <w:rPr>
            <w:u w:val="single"/>
          </w:rPr>
          <w:t xml:space="preserve">kurangnya pendekatan bipartisan</w:t>
        </w:r>
      </w:hyperlink>
      <w:r>
        <w:rPr/>
        <w:t xml:space="preserve"> dalam mencapai target emisi nasional dan global. Hal ini karena ketidakpastian menciptakan risiko bagi investor, dan risiko ini menambah premi pada biaya pembiayaan proyek energi besar — biaya yang harus dikembalikan.</w:t>
      </w:r>
    </w:p>
    <w:p>
      <w:pPr/>
      <w:r>
        <w:rPr/>
        <w:t xml:space="preserve">Menambahkan </w:t>
      </w:r>
      <w:hyperlink r:id="rId9" w:history="1">
        <w:r>
          <w:rPr>
            <w:u w:val="single"/>
          </w:rPr>
          <w:t xml:space="preserve">rencana nuklir Koalisi</w:t>
        </w:r>
      </w:hyperlink>
      <w:r>
        <w:rPr/>
        <w:t xml:space="preserve"> ke dalam campuran ini hanya memperburuk ketidakpastian bahkan sebelum analisis mengenai jalur mana yang lebih murah, lebih tepat, atau paling tepat waktu untuk transisi energi kita.</w:t>
      </w:r>
    </w:p>
    <w:p>
      <w:pPr/>
      <w:r>
        <w:rPr/>
        <w:t xml:space="preserve">Namun, energi nuklir tidak boleh dilarang secara hukum sebagai bagian potensial dari campuran energi masa depan Australia. Ada argumen yang kuat untuk mencabut larangan legislatif terhadapnya guna membuka fleksibilitas, terutama karena beberapa persen terakhir dalam mencapai sistem energi bebas karbon pada akhir 2040-an akan mahal terlepas dari opsi yang dipilih.</w:t>
      </w:r>
    </w:p>
    <w:p>
      <w:pPr>
        <w:pStyle w:val="Heading4"/>
      </w:pPr>
      <w:r>
        <w:rPr>
          <w:b w:val="1"/>
          <w:bCs w:val="1"/>
        </w:rPr>
        <w:t xml:space="preserve">Di mana kita sekarang?</w:t>
      </w:r>
    </w:p>
    <w:p>
      <w:pPr/>
      <w:r>
        <w:rPr/>
        <w:t xml:space="preserve">Menjelang pemilu federal, Australia kembali berada di persimpangan jalan politik dalam responsnya terhadap perubahan iklim.</w:t>
      </w:r>
    </w:p>
    <w:p>
      <w:pPr/>
      <w:r>
        <w:rPr/>
        <w:t xml:space="preserve">Meskipun telah lebih dari satu dekade perdebatan yang dipicu oleh partai-partai politik, kita masih belum memiliki pendekatan yang terpadu dalam hal energi atau mencapai target emisi. Pada pemilu ini, kita masih harus memilih antara dua jalur untuk mendekarbonisasi sektor listrik Australia.</w:t>
      </w:r>
    </w:p>
    <w:p>
      <w:pPr/>
      <w:r>
        <w:rPr/>
        <w:t xml:space="preserve">Pemerintah Buruh mempertahankan target </w:t>
      </w:r>
      <w:hyperlink r:id="rId10" w:history="1">
        <w:r>
          <w:rPr>
            <w:u w:val="single"/>
          </w:rPr>
          <w:t xml:space="preserve">82 persen listrik terbarukan</w:t>
        </w:r>
      </w:hyperlink>
      <w:r>
        <w:rPr/>
        <w:t xml:space="preserve"> pada 2030, meskipun trennya mengalami tekanan. Instalasi terbarukan telah stagnan, meskipun </w:t>
      </w:r>
      <w:hyperlink r:id="rId11" w:history="1">
        <w:r>
          <w:rPr>
            <w:u w:val="single"/>
          </w:rPr>
          <w:t xml:space="preserve">2024 diperkirakan akan mencatat</w:t>
        </w:r>
      </w:hyperlink>
      <w:r>
        <w:rPr/>
        <w:t xml:space="preserve"> rekor 4,3 GW proyek solar dan angin skala besar yang disetujui dan 3,2 GW solar atap skala kecil yang terpasang.</w:t>
      </w:r>
    </w:p>
    <w:p>
      <w:pPr/>
      <w:r>
        <w:rPr/>
        <w:t xml:space="preserve">Alasan perlambatan ini kompleks, tetapi sebagian disebabkan oleh kesulitan koneksi untuk pembangkit energi terbarukan skala besar dan penolakan masyarakat terhadap jaringan transmisi serta pembangkit angin dan surya.</w:t>
      </w:r>
    </w:p>
    <w:p>
      <w:pPr>
        <w:pStyle w:val="Heading4"/>
      </w:pPr>
      <w:r>
        <w:rPr>
          <w:b w:val="1"/>
          <w:bCs w:val="1"/>
        </w:rPr>
        <w:t xml:space="preserve">Rencana Koalisi</w:t>
      </w:r>
    </w:p>
    <w:p>
      <w:pPr/>
      <w:r>
        <w:rPr/>
        <w:t xml:space="preserve">Koalisi memiliki target net-zero 2050 yang sama dengan Partai Buruh, tetapi belum menyediakan target interim.</w:t>
      </w:r>
    </w:p>
    <w:p>
      <w:pPr/>
      <w:r>
        <w:rPr/>
        <w:t xml:space="preserve">Alih-alih, mereka berjanji untuk memasukkan tenaga nuklir sebagai bagian dari campuran energi, dimulai dengan dua </w:t>
      </w:r>
      <w:hyperlink r:id="rId12" w:history="1">
        <w:r>
          <w:rPr>
            <w:u w:val="single"/>
          </w:rPr>
          <w:t xml:space="preserve">reaktor modular kecil</w:t>
        </w:r>
      </w:hyperlink>
      <w:r>
        <w:rPr/>
        <w:t xml:space="preserve">, yang biasanya berkapasitas di bawah 300 MW, </w:t>
      </w:r>
      <w:hyperlink r:id="rId13" w:history="1">
        <w:r>
          <w:rPr>
            <w:u w:val="single"/>
          </w:rPr>
          <w:t xml:space="preserve">yang akan beroperasi pada tahun 2035</w:t>
        </w:r>
      </w:hyperlink>
      <w:r>
        <w:rPr/>
        <w:t xml:space="preserve"> di South Australia dan Western Australia.</w:t>
      </w:r>
    </w:p>
    <w:p>
      <w:pPr/>
      <w:r>
        <w:rPr/>
        <w:t xml:space="preserve">Belum ada reaktor modular kecil komersial yang dibangun di dunia Barat, dan contoh-contohnya hanya ada di </w:t>
      </w:r>
      <w:hyperlink r:id="rId14" w:history="1">
        <w:r>
          <w:rPr>
            <w:u w:val="single"/>
          </w:rPr>
          <w:t xml:space="preserve">China dan Rusia</w:t>
        </w:r>
      </w:hyperlink>
      <w:r>
        <w:rPr/>
        <w:t xml:space="preserve">.</w:t>
      </w:r>
    </w:p>
    <w:p>
      <w:pPr/>
      <w:r>
        <w:rPr/>
        <w:t xml:space="preserve">Jika reaktor skala besar terbukti menjadi opsi yang lebih baik, Koalisi berencana untuk memulai produksi listrik dari reaktor-reaktor ini pada tahun 2037 di dua lokasi di Queensland dan New South Wales, serta satu lokasi di Victoria.</w:t>
      </w:r>
    </w:p>
    <w:p>
      <w:pPr/>
      <w:r>
        <w:rPr/>
        <w:t xml:space="preserve">Ada juga keraguan bahwa jadwal nuklir Koalisi dapat tercapai. </w:t>
      </w:r>
      <w:hyperlink r:id="rId15" w:history="1">
        <w:r>
          <w:rPr>
            <w:u w:val="single"/>
          </w:rPr>
          <w:t xml:space="preserve">Pengalaman internasional</w:t>
        </w:r>
      </w:hyperlink>
      <w:r>
        <w:rPr/>
        <w:t xml:space="preserve"> menunjukkan bahwa waktu konstruksi terbaru di Barat jauh melebihi satu dekade, meskipun di negara-negara seperti Uni Emirat Arab dengan sistem regulasi dan tata kelola yang berbeda, waktu konstruksi kurang dari sembilan tahun.</w:t>
      </w:r>
    </w:p>
    <w:p>
      <w:pPr>
        <w:pStyle w:val="Heading4"/>
      </w:pPr>
      <w:r>
        <w:rPr>
          <w:b w:val="1"/>
          <w:bCs w:val="1"/>
        </w:rPr>
        <w:t xml:space="preserve">Menjaga opsi terbuka</w:t>
      </w:r>
    </w:p>
    <w:p>
      <w:pPr/>
      <w:r>
        <w:rPr/>
        <w:t xml:space="preserve">Namun, sebelum pembangkit listrik nuklir dapat dibangun, Australia terlebih dahulu perlu membuat rencana dan sistem regulasi.</w:t>
      </w:r>
    </w:p>
    <w:p>
      <w:pPr/>
      <w:r>
        <w:rPr/>
        <w:t xml:space="preserve">Hal itu dapat memakan waktu hingga lima tahun, termasuk waktu yang dibutuhkan untuk memperoleh izin sosial.</w:t>
      </w:r>
    </w:p>
    <w:p>
      <w:pPr/>
      <w:r>
        <w:rPr/>
        <w:t xml:space="preserve">Ada argumen bahwa Australia seharusnya melakukan ini meskipun demikian dan mencabut </w:t>
      </w:r>
      <w:hyperlink r:id="rId16" w:history="1">
        <w:r>
          <w:rPr>
            <w:u w:val="single"/>
          </w:rPr>
          <w:t xml:space="preserve">larangan legislatif</w:t>
        </w:r>
      </w:hyperlink>
      <w:r>
        <w:rPr/>
        <w:t xml:space="preserve"> yang ada terhadap energi nuklir, seperti </w:t>
      </w:r>
      <w:hyperlink r:id="rId17" w:history="1">
        <w:r>
          <w:rPr>
            <w:u w:val="single"/>
          </w:rPr>
          <w:t xml:space="preserve">yang didukung oleh jajak pendapat</w:t>
        </w:r>
      </w:hyperlink>
      <w:r>
        <w:rPr/>
        <w:t xml:space="preserve">.</w:t>
      </w:r>
    </w:p>
    <w:p>
      <w:pPr/>
      <w:r>
        <w:rPr/>
        <w:t xml:space="preserve">Hal itu akan memungkinkan Australia siap untuk mengadopsi opsi nuklir segera jika hal itu masuk akal di masa depan.</w:t>
      </w:r>
    </w:p>
    <w:p>
      <w:pPr/>
      <w:r>
        <w:rPr/>
        <w:t xml:space="preserve">Dengan waktu lima tahun untuk merencanakan dan menciptakan kerangka regulasi, waktu pembangunan yang optimis selama 10 tahun berarti pembangkit listrik tenaga nuklir tidak diharapkan mulai menghasilkan listrik di Australia </w:t>
      </w:r>
      <w:hyperlink r:id="rId18" w:history="1">
        <w:r>
          <w:rPr>
            <w:u w:val="single"/>
          </w:rPr>
          <w:t xml:space="preserve">setidaknya hingga 15 tahun</w:t>
        </w:r>
      </w:hyperlink>
      <w:r>
        <w:rPr/>
        <w:t xml:space="preserve"> ke depan.</w:t>
      </w:r>
    </w:p>
    <w:p>
      <w:pPr/>
      <w:r>
        <w:rPr/>
        <w:t xml:space="preserve">Secara realistis, jika Koalisi memulai program energi nuklir setelah pemilu 2025, pembangkit listrik nuklir tidak diharapkan mulai menghasilkan listrik di Australia hingga tahun 2040-an.</w:t>
      </w:r>
    </w:p>
    <w:p>
      <w:pPr/>
      <w:r>
        <w:rPr/>
        <w:t xml:space="preserve">Ini akan menjadi masalah bagi pemerintah Koalisi yang ingin membangun pembangkit listrik nuklir untuk menggantikan pembangkit listrik batu bara yang sudah tua di lokasi yang sama.</w:t>
      </w:r>
    </w:p>
    <w:p>
      <w:pPr/>
      <w:hyperlink r:id="rId19" w:history="1">
        <w:r>
          <w:rPr>
            <w:u w:val="single"/>
          </w:rPr>
          <w:t xml:space="preserve">Operator Pasar Energi Australia (AEMO) memperkirakan</w:t>
        </w:r>
      </w:hyperlink>
      <w:r>
        <w:rPr/>
        <w:t xml:space="preserve"> semua pembangkit listrik berbahan bakar batu bara akan pensiun pada 2037 — 90 persen di antaranya dalam satu dekade. Dalam skenario ini, tenaga surya dan angin akan menggantikan semua pembangkit listrik berbahan bakar batu bara jauh sebelum 2040.</w:t>
      </w:r>
    </w:p>
    <w:p>
      <w:pPr/>
      <w:r>
        <w:rPr/>
        <w:t xml:space="preserve">Dan jika Koalisi berencana mensubsidi pembangkit listrik batu bara untuk memperpanjang umur operasionalnya, maka mencapai target emisi nol bersih pada tahun 2050 akan menjadi jauh lebih sulit.</w:t>
      </w:r>
    </w:p>
    <w:p>
      <w:pPr>
        <w:pStyle w:val="Heading4"/>
      </w:pPr>
      <w:r>
        <w:rPr>
          <w:b w:val="1"/>
          <w:bCs w:val="1"/>
        </w:rPr>
        <w:t xml:space="preserve">Realitas emisi</w:t>
      </w:r>
    </w:p>
    <w:p>
      <w:pPr/>
      <w:hyperlink r:id="rId20" w:history="1">
        <w:r>
          <w:rPr>
            <w:u w:val="single"/>
          </w:rPr>
          <w:t xml:space="preserve">Modelling oleh Frontier Economics</w:t>
        </w:r>
      </w:hyperlink>
      <w:r>
        <w:rPr/>
        <w:t xml:space="preserve"> untuk Koalisi menggunakan skenario Progressive Change — salah satu dari tiga skenario yang digunakan AEMO untuk transisi energi Australia — yang akan memakan waktu lebih lama untuk mendekarbonisasi sektor listrik dibandingkan skenario Step Change yang diusulkan oleh Partai Buruh.</w:t>
      </w:r>
    </w:p>
    <w:p>
      <w:pPr/>
      <w:r>
        <w:rPr/>
        <w:t xml:space="preserve">Hasilnya akan menjadi emisi yang lebih besar bagi planet ini. </w:t>
      </w:r>
      <w:hyperlink r:id="rId21" w:history="1">
        <w:r>
          <w:rPr>
            <w:u w:val="single"/>
          </w:rPr>
          <w:t xml:space="preserve">Model terbaru oleh Climate Change Authority</w:t>
        </w:r>
      </w:hyperlink>
      <w:r>
        <w:rPr/>
        <w:t xml:space="preserve"> menghitung bahwa rencana nuklir Koalisi akan menghasilkan setidaknya dua miliar ton emisi tambahan, konsisten dengan jalur global menuju pemanasan 2,6 derajat dan meleset dari komitmen pengurangan emisi Australia pada 2030 (43 persen) lebih dari 5 persen.</w:t>
      </w:r>
    </w:p>
    <w:p>
      <w:pPr/>
      <w:r>
        <w:rPr/>
        <w:t xml:space="preserve">Ada juga keraguan terkait klaim Koalisi bahwa rencananya lebih murah.</w:t>
      </w:r>
    </w:p>
    <w:p>
      <w:pPr/>
      <w:hyperlink r:id="rId20" w:history="1">
        <w:r>
          <w:rPr>
            <w:u w:val="single"/>
          </w:rPr>
          <w:t xml:space="preserve">Modelling</w:t>
        </w:r>
      </w:hyperlink>
      <w:hyperlink r:id="rId20" w:history="1">
        <w:r>
          <w:rPr>
            <w:u w:val="single"/>
          </w:rPr>
          <w:t xml:space="preserve">Frontier Economics</w:t>
        </w:r>
      </w:hyperlink>
      <w:r>
        <w:rPr/>
        <w:t xml:space="preserve"> mengatakan ya, sebagian besar karena penghematan dari penundaan penutupan pembangkit batu bara, biaya sistem tambahan untuk energi terbarukan, dan umur pakai yang lebih pendek dari pembangkit angin dan surya.</w:t>
      </w:r>
    </w:p>
    <w:p>
      <w:pPr/>
      <w:r>
        <w:rPr/>
        <w:t xml:space="preserve">Laporan tahunan </w:t>
      </w:r>
      <w:hyperlink r:id="rId22" w:history="1">
        <w:r>
          <w:rPr>
            <w:u w:val="single"/>
          </w:rPr>
          <w:t xml:space="preserve">GenCost</w:t>
        </w:r>
      </w:hyperlink>
      <w:r>
        <w:rPr/>
        <w:t xml:space="preserve"> terbaru dari CSIRO-AEMO tidak setuju. Laporan tersebut memperhitungkan semua faktor yang menurut Frontier Economics membuat nuklir lebih murah — dan tetap menyimpulkan bahwa nuklir dua kali lebih mahal daripada energi terbarukan, sesuai dengan </w:t>
      </w:r>
      <w:hyperlink r:id="rId23" w:history="1">
        <w:r>
          <w:rPr>
            <w:u w:val="single"/>
          </w:rPr>
          <w:t xml:space="preserve">studi serupa di luar negeri</w:t>
        </w:r>
      </w:hyperlink>
      <w:r>
        <w:rPr/>
        <w:t xml:space="preserve">.</w:t>
      </w:r>
    </w:p>
    <w:p>
      <w:pPr/>
      <w:r>
        <w:rPr/>
        <w:t xml:space="preserve">Laporan tersebut juga tidak memasukkan subsidi pemerintah yang diperlukan untuk mendorong pembangkit listrik batu bara yang sudah tua di Australia agar tetap beroperasi hingga tahun 2040-an.</w:t>
      </w:r>
    </w:p>
    <w:p>
      <w:pPr/>
      <w:r>
        <w:rPr/>
        <w:t xml:space="preserve">Pembangkit listrik berbahan bakar batu bara tersebut akan memiliki pemilik yang enggan bersaing secara langsung dengan energi terbarukan yang jauh lebih murah, terutama pada siang hari ketika energi surya dapat secara harfiah mengalahkan batu bara dan nuklir.</w:t>
      </w:r>
    </w:p>
    <w:p>
      <w:pPr/>
      <w:r>
        <w:rPr/>
        <w:t xml:space="preserve">Pilihan bagi pemilih pada akhirnya menyempit menjadi ini: melanjutkan transisi energi ke energi terbarukan yang lebih murah yang sudah berlangsung untuk menjaga suhu di bawah 2 derajat; atau masa depan nuklir yang tidak pasti mulai tahun 2040 yang mengakibatkan emisi lebih tinggi dan kegagalan dalam memenuhi target Paris.</w:t>
      </w:r>
    </w:p>
    <w:p>
      <w:pPr/>
      <w:r>
        <w:rPr/>
        <w:t xml:space="preserve">Ada kemungkinan nuklir menjadi bagian dari campuran energi masa depan. Terlepas dari bagaimana sisa beberapa persen sistem listrik didekarbonisasi mendekati tahun 2050, </w:t>
      </w:r>
      <w:hyperlink r:id="rId24" w:history="1">
        <w:r>
          <w:rPr>
            <w:u w:val="single"/>
          </w:rPr>
          <w:t xml:space="preserve">hal itu akan sangat mahal</w:t>
        </w:r>
      </w:hyperlink>
      <w:r>
        <w:rPr/>
        <w:t xml:space="preserve">.</w:t>
      </w:r>
    </w:p>
    <w:p>
      <w:pPr/>
      <w:r>
        <w:rPr/>
        <w:t xml:space="preserve">Nuklir, mungkin reaktor modular kecil, mungkin menjadi kompetitif secara biaya pada tahap akhir transisi menuju net-zero — hanya waktu yang akan menjawabnya.</w:t>
      </w:r>
    </w:p>
    <w:p>
      <w:pPr/>
      <w:r>
        <w:rPr>
          <w:b w:val="1"/>
          <w:bCs w:val="1"/>
          <w:i w:val="1"/>
          <w:iCs w:val="1"/>
        </w:rPr>
        <w:t xml:space="preserve">Profesor Ken Baldwin</w:t>
      </w:r>
      <w:r>
        <w:rPr>
          <w:i w:val="1"/>
          <w:iCs w:val="1"/>
        </w:rPr>
        <w:t xml:space="preserve"> adalah Profesor Emeritus di Universitas Nasional Australia (ANU), di mana ia pernah menjabat sebagai Direktur Pendiri Institut Perubahan Energi ANU.</w:t>
      </w:r>
    </w:p>
    <w:p>
      <w:pPr/>
      <w:r>
        <w:rPr>
          <w:i w:val="1"/>
          <w:iCs w:val="1"/>
        </w:rPr>
        <w:t xml:space="preserve">Profesor Baldwin membantu mengorganisir, atas nama Akademi Ilmu Pengetahuan Australia (AAS) dan Akademi Ilmu Pengetahuan dan Teknologi Teknik (ATSE), sebuah lokakarya dengan aturan Chatham House di Canberra pada Rabu, 17 Juli 2024, memberikan masukan kepada tim CSIRO GenCost tentang energi nuklir di Australia. </w:t>
      </w:r>
    </w:p>
    <w:p>
      <w:pPr/>
      <w:r>
        <w:rPr>
          <w:i w:val="1"/>
          <w:iCs w:val="1"/>
        </w:rPr>
        <w:t xml:space="preserve">Ia menjabat sebagai ketua Rencana Penelitian Transisi Energi Australia Dewan Akademi Ilmu Pengetahuan Australia, ketua Dewan Penasihat Industri Pemerintah ACT untuk Dana Inovasi Energi, dan direktur non-eksekutif Jaringan Penelitian Hidrogen Australia.</w:t>
      </w:r>
    </w:p>
    <w:p>
      <w:pPr/>
      <w:r>
        <w:rPr>
          <w:i w:val="1"/>
          <w:iCs w:val="1"/>
        </w:rPr>
        <w:t xml:space="preserve">Diterbitkan awalnya di bawah lisensi </w:t>
      </w:r>
      <w:hyperlink r:id="rId25" w:history="1">
        <w:r>
          <w:rPr>
            <w:i w:val="1"/>
            <w:iCs w:val="1"/>
          </w:rPr>
          <w:t xml:space="preserve">Creative Commons</w:t>
        </w:r>
      </w:hyperlink>
      <w:r>
        <w:rPr>
          <w:i w:val="1"/>
          <w:iCs w:val="1"/>
        </w:rPr>
        <w:t xml:space="preserve"> oleh </w:t>
      </w:r>
      <w:hyperlink r:id="rId26"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7" w:history="1">
        <w:r>
          <w:rPr/>
          <w:t xml:space="preserve">pertama kali</w:t>
        </w:r>
      </w:hyperlink>
      <w:r>
        <w:rPr/>
        <w:t xml:space="preserve"> dipublikasikan tanggal 19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theconversation.com/climate-wars-carbon-taxes-and-toppled-leaders-the-30-year-history-of-australias-climate-response-in-brief-169545" TargetMode="External"/><Relationship Id="rId9" Type="http://schemas.openxmlformats.org/officeDocument/2006/relationships/hyperlink" Target="https://www.liberal.org.au/2024/12/13/a-cheaper-cleaner-and-more-consistent-energy-plan-for-australia" TargetMode="External"/><Relationship Id="rId10" Type="http://schemas.openxmlformats.org/officeDocument/2006/relationships/hyperlink" Target="https://alp.org.au/petitions/renewable-energy-superpower/" TargetMode="External"/><Relationship Id="rId11" Type="http://schemas.openxmlformats.org/officeDocument/2006/relationships/hyperlink" Target="https://cer.gov.au/markets/reports-and-data/quarterly-carbon-market-reports/quarterly-carbon-market-report-december-quarter-2024" TargetMode="External"/><Relationship Id="rId12" Type="http://schemas.openxmlformats.org/officeDocument/2006/relationships/hyperlink" Target="https://www.iaea.org/newscenter/news/what-are-small-modular-reactors-smrs" TargetMode="External"/><Relationship Id="rId13" Type="http://schemas.openxmlformats.org/officeDocument/2006/relationships/hyperlink" Target="https://www.australianeedsnuclear.org.au/our-plan" TargetMode="External"/><Relationship Id="rId14" Type="http://schemas.openxmlformats.org/officeDocument/2006/relationships/hyperlink" Target="https://world-nuclear.org/information-library/nuclear-fuel-cycle/nuclear-power-reactors/small-nuclear-power-reactors" TargetMode="External"/><Relationship Id="rId15" Type="http://schemas.openxmlformats.org/officeDocument/2006/relationships/hyperlink" Target="https://www.abc.net.au/news/2024-03-21/fact-check-chris-bowen-nuclear-power-plant-19-years/103611282" TargetMode="External"/><Relationship Id="rId16" Type="http://schemas.openxmlformats.org/officeDocument/2006/relationships/hyperlink" Target="https://www.aph.gov.au/Parliamentary_Business/Committees/Senate/Environment_and_Communications/Nuclearprohibitions" TargetMode="External"/><Relationship Id="rId17" Type="http://schemas.openxmlformats.org/officeDocument/2006/relationships/hyperlink" Target="https://poll.lowyinstitute.org/report/2022/climate-change-and-energy/#report" TargetMode="External"/><Relationship Id="rId18" Type="http://schemas.openxmlformats.org/officeDocument/2006/relationships/hyperlink" Target="https://www.news.com.au/technology/environment/nuclear-power-at-least-15-years-away-says-regulator/news-story/6b8c4ec9c94cd4d05471783678abdb59" TargetMode="External"/><Relationship Id="rId19" Type="http://schemas.openxmlformats.org/officeDocument/2006/relationships/hyperlink" Target="https://aemo.com.au/en/energy-systems/electricity/national-electricity-market-nem/nem-forecasting-and-planning/integrated-system-plan-isp" TargetMode="External"/><Relationship Id="rId20" Type="http://schemas.openxmlformats.org/officeDocument/2006/relationships/hyperlink" Target="https://www.frontier-economics.com.au/economic-analysis-of-including-nuclear-power-in-the-nem/" TargetMode="External"/><Relationship Id="rId21" Type="http://schemas.openxmlformats.org/officeDocument/2006/relationships/hyperlink" Target="https://www.climatechangeauthority.gov.au/assessing-impact-nuclear-pathway-australias-emissions" TargetMode="External"/><Relationship Id="rId22" Type="http://schemas.openxmlformats.org/officeDocument/2006/relationships/hyperlink" Target="https://www.csiro.au/en/news/all/news/2024/may/csiro-releases-2023-24-gencost-report" TargetMode="External"/><Relationship Id="rId23" Type="http://schemas.openxmlformats.org/officeDocument/2006/relationships/hyperlink" Target="https://www.lazard.com/research-insights/levelized-cost-of-energyplus/" TargetMode="External"/><Relationship Id="rId24" Type="http://schemas.openxmlformats.org/officeDocument/2006/relationships/hyperlink" Target="https://policybrief.anu.edu.au/is-there-a-role-for-nuclear-in-australias-energy-transition/" TargetMode="External"/><Relationship Id="rId25" Type="http://schemas.openxmlformats.org/officeDocument/2006/relationships/hyperlink" Target="https://creativecommons.org/licenses/by/4.0/" TargetMode="External"/><Relationship Id="rId26" Type="http://schemas.openxmlformats.org/officeDocument/2006/relationships/hyperlink" Target="https://360info.org" TargetMode="External"/><Relationship Id="rId27" Type="http://schemas.openxmlformats.org/officeDocument/2006/relationships/hyperlink" Target="https://360info.org/energy-election-how-nuclear-is-already-costing-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2026-02-24T06:43:54+00:00</dcterms:created>
  <dcterms:modified xsi:type="dcterms:W3CDTF">2026-02-24T06:43:54+00:00</dcterms:modified>
</cp:coreProperties>
</file>

<file path=docProps/custom.xml><?xml version="1.0" encoding="utf-8"?>
<Properties xmlns="http://schemas.openxmlformats.org/officeDocument/2006/custom-properties" xmlns:vt="http://schemas.openxmlformats.org/officeDocument/2006/docPropsVTypes"/>
</file>